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4D" w:rsidRDefault="00090D4D">
      <w:pPr>
        <w:widowControl w:val="0"/>
        <w:autoSpaceDE w:val="0"/>
        <w:autoSpaceDN w:val="0"/>
        <w:adjustRightInd w:val="0"/>
        <w:spacing w:line="240" w:lineRule="auto"/>
        <w:rPr>
          <w:rFonts w:cs="Times New Roman"/>
          <w:szCs w:val="24"/>
        </w:rPr>
      </w:pPr>
      <w:r>
        <w:rPr>
          <w:rFonts w:cs="Times New Roman"/>
          <w:szCs w:val="24"/>
        </w:rPr>
        <w:t xml:space="preserve">Документ предоставлен </w:t>
      </w:r>
      <w:hyperlink r:id="rId4" w:history="1">
        <w:r>
          <w:rPr>
            <w:rFonts w:cs="Times New Roman"/>
            <w:color w:val="0000FF"/>
            <w:szCs w:val="24"/>
          </w:rPr>
          <w:t>КонсультантПлюс</w:t>
        </w:r>
      </w:hyperlink>
      <w:r>
        <w:rPr>
          <w:rFonts w:cs="Times New Roman"/>
          <w:szCs w:val="24"/>
        </w:rPr>
        <w:br/>
      </w:r>
    </w:p>
    <w:p w:rsidR="00090D4D" w:rsidRDefault="00090D4D">
      <w:pPr>
        <w:widowControl w:val="0"/>
        <w:autoSpaceDE w:val="0"/>
        <w:autoSpaceDN w:val="0"/>
        <w:adjustRightInd w:val="0"/>
        <w:spacing w:line="240" w:lineRule="auto"/>
        <w:jc w:val="both"/>
        <w:outlineLvl w:val="0"/>
        <w:rPr>
          <w:rFonts w:cs="Times New Roman"/>
          <w:szCs w:val="24"/>
        </w:rPr>
      </w:pPr>
    </w:p>
    <w:p w:rsidR="00090D4D" w:rsidRDefault="00090D4D">
      <w:pPr>
        <w:widowControl w:val="0"/>
        <w:autoSpaceDE w:val="0"/>
        <w:autoSpaceDN w:val="0"/>
        <w:adjustRightInd w:val="0"/>
        <w:spacing w:line="240" w:lineRule="auto"/>
        <w:jc w:val="center"/>
        <w:outlineLvl w:val="0"/>
        <w:rPr>
          <w:rFonts w:cs="Times New Roman"/>
          <w:b/>
          <w:bCs/>
          <w:szCs w:val="24"/>
        </w:rPr>
      </w:pPr>
      <w:bookmarkStart w:id="0" w:name="Par1"/>
      <w:bookmarkEnd w:id="0"/>
      <w:r>
        <w:rPr>
          <w:rFonts w:cs="Times New Roman"/>
          <w:b/>
          <w:bCs/>
          <w:szCs w:val="24"/>
        </w:rPr>
        <w:t>МИНИСТЕРСТВО ПРИРОДНЫХ РЕСУРСОВ РОССИЙСКОЙ ФЕДЕРАЦИИ</w:t>
      </w:r>
    </w:p>
    <w:p w:rsidR="00090D4D" w:rsidRDefault="00090D4D">
      <w:pPr>
        <w:widowControl w:val="0"/>
        <w:autoSpaceDE w:val="0"/>
        <w:autoSpaceDN w:val="0"/>
        <w:adjustRightInd w:val="0"/>
        <w:spacing w:line="240" w:lineRule="auto"/>
        <w:jc w:val="center"/>
        <w:rPr>
          <w:rFonts w:cs="Times New Roman"/>
          <w:b/>
          <w:bCs/>
          <w:szCs w:val="24"/>
        </w:rPr>
      </w:pPr>
    </w:p>
    <w:p w:rsidR="00090D4D" w:rsidRDefault="00090D4D">
      <w:pPr>
        <w:widowControl w:val="0"/>
        <w:autoSpaceDE w:val="0"/>
        <w:autoSpaceDN w:val="0"/>
        <w:adjustRightInd w:val="0"/>
        <w:spacing w:line="240" w:lineRule="auto"/>
        <w:jc w:val="center"/>
        <w:rPr>
          <w:rFonts w:cs="Times New Roman"/>
          <w:b/>
          <w:bCs/>
          <w:szCs w:val="24"/>
        </w:rPr>
      </w:pPr>
      <w:r>
        <w:rPr>
          <w:rFonts w:cs="Times New Roman"/>
          <w:b/>
          <w:bCs/>
          <w:szCs w:val="24"/>
        </w:rPr>
        <w:t>ПРИКАЗ</w:t>
      </w:r>
    </w:p>
    <w:p w:rsidR="00090D4D" w:rsidRDefault="00090D4D">
      <w:pPr>
        <w:widowControl w:val="0"/>
        <w:autoSpaceDE w:val="0"/>
        <w:autoSpaceDN w:val="0"/>
        <w:adjustRightInd w:val="0"/>
        <w:spacing w:line="240" w:lineRule="auto"/>
        <w:jc w:val="center"/>
        <w:rPr>
          <w:rFonts w:cs="Times New Roman"/>
          <w:b/>
          <w:bCs/>
          <w:szCs w:val="24"/>
        </w:rPr>
      </w:pPr>
      <w:r>
        <w:rPr>
          <w:rFonts w:cs="Times New Roman"/>
          <w:b/>
          <w:bCs/>
          <w:szCs w:val="24"/>
        </w:rPr>
        <w:t>от 15 июня 2001 г. N 511</w:t>
      </w:r>
    </w:p>
    <w:p w:rsidR="00090D4D" w:rsidRDefault="00090D4D">
      <w:pPr>
        <w:widowControl w:val="0"/>
        <w:autoSpaceDE w:val="0"/>
        <w:autoSpaceDN w:val="0"/>
        <w:adjustRightInd w:val="0"/>
        <w:spacing w:line="240" w:lineRule="auto"/>
        <w:jc w:val="center"/>
        <w:rPr>
          <w:rFonts w:cs="Times New Roman"/>
          <w:b/>
          <w:bCs/>
          <w:szCs w:val="24"/>
        </w:rPr>
      </w:pPr>
    </w:p>
    <w:p w:rsidR="00090D4D" w:rsidRDefault="00090D4D">
      <w:pPr>
        <w:widowControl w:val="0"/>
        <w:autoSpaceDE w:val="0"/>
        <w:autoSpaceDN w:val="0"/>
        <w:adjustRightInd w:val="0"/>
        <w:spacing w:line="240" w:lineRule="auto"/>
        <w:jc w:val="center"/>
        <w:rPr>
          <w:rFonts w:cs="Times New Roman"/>
          <w:b/>
          <w:bCs/>
          <w:szCs w:val="24"/>
        </w:rPr>
      </w:pPr>
      <w:r>
        <w:rPr>
          <w:rFonts w:cs="Times New Roman"/>
          <w:b/>
          <w:bCs/>
          <w:szCs w:val="24"/>
        </w:rPr>
        <w:t>ОБ УТВЕРЖДЕНИИ КРИТЕРИЕВ</w:t>
      </w:r>
    </w:p>
    <w:p w:rsidR="00090D4D" w:rsidRDefault="00090D4D">
      <w:pPr>
        <w:widowControl w:val="0"/>
        <w:autoSpaceDE w:val="0"/>
        <w:autoSpaceDN w:val="0"/>
        <w:adjustRightInd w:val="0"/>
        <w:spacing w:line="240" w:lineRule="auto"/>
        <w:jc w:val="center"/>
        <w:rPr>
          <w:rFonts w:cs="Times New Roman"/>
          <w:b/>
          <w:bCs/>
          <w:szCs w:val="24"/>
        </w:rPr>
      </w:pPr>
      <w:r>
        <w:rPr>
          <w:rFonts w:cs="Times New Roman"/>
          <w:b/>
          <w:bCs/>
          <w:szCs w:val="24"/>
        </w:rPr>
        <w:t>ОТНЕСЕНИЯ ОПАСНЫХ ОТХОДОВ К КЛАССУ ОПАСНОСТИ ДЛЯ ОКРУЖАЮЩЕЙ</w:t>
      </w:r>
    </w:p>
    <w:p w:rsidR="00090D4D" w:rsidRDefault="00090D4D">
      <w:pPr>
        <w:widowControl w:val="0"/>
        <w:autoSpaceDE w:val="0"/>
        <w:autoSpaceDN w:val="0"/>
        <w:adjustRightInd w:val="0"/>
        <w:spacing w:line="240" w:lineRule="auto"/>
        <w:jc w:val="center"/>
        <w:rPr>
          <w:rFonts w:cs="Times New Roman"/>
          <w:b/>
          <w:bCs/>
          <w:szCs w:val="24"/>
        </w:rPr>
      </w:pPr>
      <w:r>
        <w:rPr>
          <w:rFonts w:cs="Times New Roman"/>
          <w:b/>
          <w:bCs/>
          <w:szCs w:val="24"/>
        </w:rPr>
        <w:t>ПРИРОДНОЙ СРЕДЫ</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целях реализации </w:t>
      </w:r>
      <w:hyperlink r:id="rId5" w:history="1">
        <w:r>
          <w:rPr>
            <w:rFonts w:cs="Times New Roman"/>
            <w:color w:val="0000FF"/>
            <w:szCs w:val="24"/>
          </w:rPr>
          <w:t>статьи 14</w:t>
        </w:r>
      </w:hyperlink>
      <w:r>
        <w:rPr>
          <w:rFonts w:cs="Times New Roman"/>
          <w:szCs w:val="24"/>
        </w:rPr>
        <w:t xml:space="preserve"> Федерального закона "Об отходах производства и потребления" (Собрание законодательства Российской Федерации, 1998, N 26, ст. 3009) приказываю:</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Утвердить прилагаемые </w:t>
      </w:r>
      <w:hyperlink w:anchor="Par26" w:history="1">
        <w:r>
          <w:rPr>
            <w:rFonts w:cs="Times New Roman"/>
            <w:color w:val="0000FF"/>
            <w:szCs w:val="24"/>
          </w:rPr>
          <w:t>Критерии</w:t>
        </w:r>
      </w:hyperlink>
      <w:r>
        <w:rPr>
          <w:rFonts w:cs="Times New Roman"/>
          <w:szCs w:val="24"/>
        </w:rPr>
        <w:t xml:space="preserve"> отнесения опасных отходов к классу опасности для окружающей природной среды.</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Министр</w:t>
      </w:r>
    </w:p>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Б.А.ЯЦКЕВИЧ</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Не нуждается в государственной регистрации. Письмо Минюста России от 24 июля 2001 г. N 07/7483-ЮД.</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right"/>
        <w:outlineLvl w:val="0"/>
        <w:rPr>
          <w:rFonts w:cs="Times New Roman"/>
          <w:szCs w:val="24"/>
        </w:rPr>
      </w:pPr>
      <w:bookmarkStart w:id="1" w:name="Par22"/>
      <w:bookmarkEnd w:id="1"/>
      <w:r>
        <w:rPr>
          <w:rFonts w:cs="Times New Roman"/>
          <w:szCs w:val="24"/>
        </w:rPr>
        <w:t>Утверждены</w:t>
      </w:r>
    </w:p>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Приказом МПР России</w:t>
      </w:r>
    </w:p>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от 15 июня 2001 г. N 511</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center"/>
        <w:rPr>
          <w:rFonts w:cs="Times New Roman"/>
          <w:b/>
          <w:bCs/>
          <w:szCs w:val="24"/>
        </w:rPr>
      </w:pPr>
      <w:bookmarkStart w:id="2" w:name="Par26"/>
      <w:bookmarkEnd w:id="2"/>
      <w:r>
        <w:rPr>
          <w:rFonts w:cs="Times New Roman"/>
          <w:b/>
          <w:bCs/>
          <w:szCs w:val="24"/>
        </w:rPr>
        <w:t>КРИТЕРИИ</w:t>
      </w:r>
    </w:p>
    <w:p w:rsidR="00090D4D" w:rsidRDefault="00090D4D">
      <w:pPr>
        <w:widowControl w:val="0"/>
        <w:autoSpaceDE w:val="0"/>
        <w:autoSpaceDN w:val="0"/>
        <w:adjustRightInd w:val="0"/>
        <w:spacing w:line="240" w:lineRule="auto"/>
        <w:jc w:val="center"/>
        <w:rPr>
          <w:rFonts w:cs="Times New Roman"/>
          <w:b/>
          <w:bCs/>
          <w:szCs w:val="24"/>
        </w:rPr>
      </w:pPr>
      <w:r>
        <w:rPr>
          <w:rFonts w:cs="Times New Roman"/>
          <w:b/>
          <w:bCs/>
          <w:szCs w:val="24"/>
        </w:rPr>
        <w:t>ОТНЕСЕНИЯ ОПАСНЫХ ОТХОДОВ К КЛАССУ ОПАСНОСТИ ДЛЯ ОКРУЖАЮЩЕЙ</w:t>
      </w:r>
    </w:p>
    <w:p w:rsidR="00090D4D" w:rsidRDefault="00090D4D">
      <w:pPr>
        <w:widowControl w:val="0"/>
        <w:autoSpaceDE w:val="0"/>
        <w:autoSpaceDN w:val="0"/>
        <w:adjustRightInd w:val="0"/>
        <w:spacing w:line="240" w:lineRule="auto"/>
        <w:jc w:val="center"/>
        <w:rPr>
          <w:rFonts w:cs="Times New Roman"/>
          <w:b/>
          <w:bCs/>
          <w:szCs w:val="24"/>
        </w:rPr>
      </w:pPr>
      <w:r>
        <w:rPr>
          <w:rFonts w:cs="Times New Roman"/>
          <w:b/>
          <w:bCs/>
          <w:szCs w:val="24"/>
        </w:rPr>
        <w:t>ПРИРОДНОЙ СРЕДЫ</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xml:space="preserve">Критерии отнесения опасных отходов к классу опасности для окружающей природной среды разработаны в соответствии со </w:t>
      </w:r>
      <w:hyperlink r:id="rId6" w:history="1">
        <w:r>
          <w:rPr>
            <w:rFonts w:cs="Times New Roman"/>
            <w:color w:val="0000FF"/>
            <w:szCs w:val="24"/>
          </w:rPr>
          <w:t>статьей 14</w:t>
        </w:r>
      </w:hyperlink>
      <w:r>
        <w:rPr>
          <w:rFonts w:cs="Times New Roman"/>
          <w:szCs w:val="24"/>
        </w:rPr>
        <w:t xml:space="preserve"> Федерального закона от 24 июня 1998 г. N 89-ФЗ "Об отходах производства и потребления" (Собрание законодательства Российской Федерации, 1998, N 26, ст. 3009).</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outlineLvl w:val="1"/>
        <w:rPr>
          <w:rFonts w:cs="Times New Roman"/>
          <w:szCs w:val="24"/>
        </w:rPr>
      </w:pPr>
      <w:bookmarkStart w:id="3" w:name="Par32"/>
      <w:bookmarkEnd w:id="3"/>
      <w:r>
        <w:rPr>
          <w:rFonts w:cs="Times New Roman"/>
          <w:szCs w:val="24"/>
        </w:rPr>
        <w:t>I. ОБЩИЕ ПОЛОЖЕНИЯ</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 Критерии отнесения опасных отходов к классу опасности для окружающей природной среды (далее - Критерии) предназначены для индивидуальных предпринимателей и юридических лиц, в процессе деятельности которых образуются опасные отходы для окружающей природной среды (далее - отходы), и которые обязаны подтвердить отнесение данных отходов к конкретному классу опасности для окружающей природной среды (далее - производители отходов).</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Класс опасности отходов устанавливается по степени возможного вредного </w:t>
      </w:r>
      <w:r>
        <w:rPr>
          <w:rFonts w:cs="Times New Roman"/>
          <w:szCs w:val="24"/>
        </w:rPr>
        <w:lastRenderedPageBreak/>
        <w:t xml:space="preserve">воздействия на окружающую природную среду (далее - ОПС) при непосредственном или опосредованном воздействии опасного отхода на нее в соответствии с Критериями, приведенными в таблицах 1, </w:t>
      </w:r>
      <w:hyperlink w:anchor="Par272" w:history="1">
        <w:r>
          <w:rPr>
            <w:rFonts w:cs="Times New Roman"/>
            <w:color w:val="0000FF"/>
            <w:szCs w:val="24"/>
          </w:rPr>
          <w:t>3,</w:t>
        </w:r>
      </w:hyperlink>
      <w:r>
        <w:rPr>
          <w:rFonts w:cs="Times New Roman"/>
          <w:szCs w:val="24"/>
        </w:rPr>
        <w:t xml:space="preserve"> </w:t>
      </w:r>
      <w:hyperlink w:anchor="Par299" w:history="1">
        <w:r>
          <w:rPr>
            <w:rFonts w:cs="Times New Roman"/>
            <w:color w:val="0000FF"/>
            <w:szCs w:val="24"/>
          </w:rPr>
          <w:t>4.</w:t>
        </w:r>
      </w:hyperlink>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right"/>
        <w:outlineLvl w:val="2"/>
        <w:rPr>
          <w:rFonts w:cs="Times New Roman"/>
          <w:szCs w:val="24"/>
        </w:rPr>
      </w:pPr>
      <w:bookmarkStart w:id="4" w:name="Par37"/>
      <w:bookmarkEnd w:id="4"/>
      <w:r>
        <w:rPr>
          <w:rFonts w:cs="Times New Roman"/>
          <w:szCs w:val="24"/>
        </w:rPr>
        <w:t>Таблица 1</w:t>
      </w:r>
    </w:p>
    <w:p w:rsidR="00090D4D" w:rsidRDefault="00090D4D">
      <w:pPr>
        <w:widowControl w:val="0"/>
        <w:autoSpaceDE w:val="0"/>
        <w:autoSpaceDN w:val="0"/>
        <w:adjustRightInd w:val="0"/>
        <w:spacing w:line="240" w:lineRule="auto"/>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833"/>
        <w:gridCol w:w="2618"/>
        <w:gridCol w:w="3213"/>
        <w:gridCol w:w="1547"/>
      </w:tblGrid>
      <w:tr w:rsidR="00090D4D">
        <w:tc>
          <w:tcPr>
            <w:tcW w:w="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N п/п</w:t>
            </w:r>
          </w:p>
        </w:tc>
        <w:tc>
          <w:tcPr>
            <w:tcW w:w="2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СТЕПЕНЬ вредного воздействия опасных отходов на ОПС</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КРИТЕРИИ отнесения опасных отходов к классу опасности для ОПС</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КЛАСС ОПАСНОСТИ отхода для ОПС</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ОЧЕНЬ ВЫСОКАЯ</w:t>
            </w:r>
          </w:p>
        </w:tc>
        <w:tc>
          <w:tcPr>
            <w:tcW w:w="321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Экологическая система необратимо нарушена. Период восстановления отсутствует</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 КЛАСС ЧРЕЗВЫЧАЙНО ОПАСНЫЕ</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ВЫСОКАЯ</w:t>
            </w:r>
          </w:p>
        </w:tc>
        <w:tc>
          <w:tcPr>
            <w:tcW w:w="321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Экологическая система сильно нарушена. Период восстановления не менее 30 лет после полного устранения источника вредного воздействия</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II КЛАСС ВЫСОКООПАСНЫЕ</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СРЕДНЯЯ</w:t>
            </w:r>
          </w:p>
        </w:tc>
        <w:tc>
          <w:tcPr>
            <w:tcW w:w="321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Экологическая система нарушена. Период восстановления не менее 10 лет после снижения вредного воздействия от существующего источника</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III КЛАСС УМЕРЕННО ОПАСНЫЕ</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4.</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НИЗКАЯ</w:t>
            </w:r>
          </w:p>
        </w:tc>
        <w:tc>
          <w:tcPr>
            <w:tcW w:w="321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Экологическая система нарушена. Период самовосстановления не менее 3-х лет</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IV КЛАСС МАЛООПАСНЫЕ</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5.</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ОЧЕНЬ НИЗКАЯ</w:t>
            </w:r>
          </w:p>
        </w:tc>
        <w:tc>
          <w:tcPr>
            <w:tcW w:w="321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Экологическая система практически не нарушена</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V КЛАСС ПРАКТИЧЕСКИ НЕОПАСНЫЕ</w:t>
            </w:r>
          </w:p>
        </w:tc>
      </w:tr>
    </w:tbl>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3. Отнесение отходов к классу опасности для ОПС может осуществляться расчетным или экспериментальным методами.</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4. В случае отнесения производителями отходов отхода расчетным методом к 5-му классу опасности, необходимо его подтверждение экспериментальным методом. При отсутствии подтверждения 5-го класса опасности экспериментальным методом отход может быть отнесен к 4-му классу опасности.</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outlineLvl w:val="1"/>
        <w:rPr>
          <w:rFonts w:cs="Times New Roman"/>
          <w:szCs w:val="24"/>
        </w:rPr>
      </w:pPr>
      <w:bookmarkStart w:id="5" w:name="Par67"/>
      <w:bookmarkEnd w:id="5"/>
      <w:r>
        <w:rPr>
          <w:rFonts w:cs="Times New Roman"/>
          <w:szCs w:val="24"/>
        </w:rPr>
        <w:t>II. ОТНЕСЕНИЕ ОПАСНЫХ ОТХОДОВ К КЛАССУ ОПАСНОСТИ ДЛЯ ОКРУЖАЮЩЕЙ ПРИРОДНОЙ СРЕДЫ РАСЧЕТНЫМ МЕТОДОМ</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Отнесение отходов к классу опасности для ОПС расчетным методом осуществляется на основании показателя (К), характеризующего степень опасности отхода при его воздействии на ОПС, рассчитанного по сумме показателей опасности </w:t>
      </w:r>
      <w:r>
        <w:rPr>
          <w:rFonts w:cs="Times New Roman"/>
          <w:szCs w:val="24"/>
        </w:rPr>
        <w:lastRenderedPageBreak/>
        <w:t>веществ, составляющих отход (далее компоненты отхода), для ОПС (Кi).</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Перечень компонентов отхода и их количественное содержание устанавливаются по составу исходного сырья и технологическим процессам его переработки или по результатам количественного химического анализа.</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6. Показатель степени опасности компонента отхода (Ki) рассчитывается как соотношение концентраций компонентов отхода (Ci) с коэффициентом его степени опасности для ОПС (Wi); коэффициентом степени опасности компонента отхода для ОПС является условный показатель, численно равный количеству компонента отхода, ниже значения которого он не оказывает негативного воздействий на ОПС. Размерность коэффициента степени опасности для ОПС условно принимается как мг/кг.</w:t>
      </w:r>
    </w:p>
    <w:p w:rsidR="00090D4D" w:rsidRDefault="00090D4D">
      <w:pPr>
        <w:widowControl w:val="0"/>
        <w:autoSpaceDE w:val="0"/>
        <w:autoSpaceDN w:val="0"/>
        <w:adjustRightInd w:val="0"/>
        <w:spacing w:line="240" w:lineRule="auto"/>
        <w:ind w:firstLine="540"/>
        <w:jc w:val="both"/>
        <w:rPr>
          <w:rFonts w:cs="Times New Roman"/>
          <w:szCs w:val="24"/>
        </w:rPr>
      </w:pPr>
      <w:bookmarkStart w:id="6" w:name="Par72"/>
      <w:bookmarkEnd w:id="6"/>
      <w:r>
        <w:rPr>
          <w:rFonts w:cs="Times New Roman"/>
          <w:szCs w:val="24"/>
        </w:rPr>
        <w:t>7. Для определения коэффициента степени опасности компонента отхода для ОПС по каждому компоненту отхода устанавливаются степени их опасности для ОПС для различных природных сред в соответствии с таблицей 2.</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right"/>
        <w:outlineLvl w:val="2"/>
        <w:rPr>
          <w:rFonts w:cs="Times New Roman"/>
          <w:szCs w:val="24"/>
        </w:rPr>
      </w:pPr>
      <w:bookmarkStart w:id="7" w:name="Par74"/>
      <w:bookmarkEnd w:id="7"/>
      <w:r>
        <w:rPr>
          <w:rFonts w:cs="Times New Roman"/>
          <w:szCs w:val="24"/>
        </w:rPr>
        <w:t>Таблица 2</w:t>
      </w:r>
    </w:p>
    <w:p w:rsidR="00090D4D" w:rsidRDefault="00090D4D">
      <w:pPr>
        <w:widowControl w:val="0"/>
        <w:autoSpaceDE w:val="0"/>
        <w:autoSpaceDN w:val="0"/>
        <w:adjustRightInd w:val="0"/>
        <w:spacing w:line="240" w:lineRule="auto"/>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833"/>
        <w:gridCol w:w="2618"/>
        <w:gridCol w:w="1309"/>
        <w:gridCol w:w="1309"/>
        <w:gridCol w:w="1190"/>
        <w:gridCol w:w="1190"/>
      </w:tblGrid>
      <w:tr w:rsidR="00090D4D">
        <w:tc>
          <w:tcPr>
            <w:tcW w:w="8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N п/п</w:t>
            </w:r>
          </w:p>
        </w:tc>
        <w:tc>
          <w:tcPr>
            <w:tcW w:w="26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ПЕРВИЧНЫЕ ПОКАЗАТЕЛИ ОПАСНОСТИ КОМПОНЕНТА ОТХОДА</w:t>
            </w:r>
          </w:p>
        </w:tc>
        <w:tc>
          <w:tcPr>
            <w:tcW w:w="49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СТЕПЕНЬ ОПАСНОСТИ КОМПОНЕНТА ОТХОДА ДЛЯ ОПС ПО КАЖДОМУ КОМПОНЕНТУ ОТХОДА</w:t>
            </w:r>
          </w:p>
        </w:tc>
      </w:tr>
      <w:tr w:rsidR="00090D4D">
        <w:tc>
          <w:tcPr>
            <w:tcW w:w="8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p>
        </w:tc>
        <w:tc>
          <w:tcPr>
            <w:tcW w:w="2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4</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ПДКп &lt;*&gt; (ОДК &lt;**&gt;), мг/кг</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1 - 10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10.1 - 100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100</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2.</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Класс опасности в почве</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2</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3</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не установ</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3.</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ПДКв (ОДУ, ОБУВ), мг/л</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0.01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0.01 - 0.1</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0.11 - 1</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1</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4.</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Класс опасности в воде хозяйственно-питьевого использования</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2</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3</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4</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5.</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ПДКр.х. (ОБУВ), мг/л</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0.001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0.001 - 0.1</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0.011 - 0.1</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0.1</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6.</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Класс опасности в воде рыбохозяйственного использования</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2</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3</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4</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7.</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ПДКс.с. (ПДКм.р., ОБУВ), мг/м3</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0.01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0.01 - 0.1</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0.11 - 1</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1</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8.</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Класс опасности в атмосферном воздухе</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2</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3</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4</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9.</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ПДКпп (МДУ, МДС), мг/кг</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0.01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0.01 - 1</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1.1 - 10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10</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10.</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Lg (S, мг/л / ПДКв, мг/л) &lt;***&gt;</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5</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5 - 2</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1.9 - 1</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1</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11.</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 xml:space="preserve">Lg (Снас, мг/м3 / </w:t>
            </w:r>
            <w:r>
              <w:rPr>
                <w:rFonts w:cs="Times New Roman"/>
                <w:szCs w:val="24"/>
              </w:rPr>
              <w:lastRenderedPageBreak/>
              <w:t>ПДКр.з)</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lastRenderedPageBreak/>
              <w:t>&gt; 5</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5 - 2</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1.9 - 1</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1</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lastRenderedPageBreak/>
              <w:t>12.</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Lg (Снас, мг/м3 / ПДКс.с. или ПДКм.р.)</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7</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7 - 3.9</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3.8 - 1.6</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1.6</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13.</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lg Kow (октанол/ вода)</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4</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4 - 2</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1.9 - 0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0</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14.</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LD50, мг/кг</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15</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15 - 150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151 - 5000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5000</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15.</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LC50, мг/м3</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500</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500 - 5000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5001 - 50000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50000</w:t>
            </w:r>
          </w:p>
        </w:tc>
      </w:tr>
      <w:tr w:rsidR="00090D4D">
        <w:tc>
          <w:tcPr>
            <w:tcW w:w="833"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p>
        </w:tc>
        <w:tc>
          <w:tcPr>
            <w:tcW w:w="2618"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водн.</w:t>
            </w:r>
          </w:p>
        </w:tc>
        <w:tc>
          <w:tcPr>
            <w:tcW w:w="1309"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p>
        </w:tc>
        <w:tc>
          <w:tcPr>
            <w:tcW w:w="1309"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p>
        </w:tc>
        <w:tc>
          <w:tcPr>
            <w:tcW w:w="1190"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p>
        </w:tc>
        <w:tc>
          <w:tcPr>
            <w:tcW w:w="1190"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16.</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LC50, мг/л / 96 ч</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1 - 5</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5.1 - 100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100</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17.</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БД = БПК5 / ХПК 100%</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&lt; 0.1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0.01 - 1.0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1.0 - 10</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&gt; 10</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18.</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Персистентность (трансформация в окружающей природной среде)</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Образование более токсичных продуктов, в т.ч. обладающих отдаленными эффектами или новыми свойствами</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Образование продуктов с более выраженным влиянием других</w:t>
            </w:r>
          </w:p>
          <w:p w:rsidR="00090D4D" w:rsidRDefault="00090D4D">
            <w:pPr>
              <w:widowControl w:val="0"/>
              <w:autoSpaceDE w:val="0"/>
              <w:autoSpaceDN w:val="0"/>
              <w:adjustRightInd w:val="0"/>
              <w:spacing w:line="240" w:lineRule="auto"/>
              <w:rPr>
                <w:rFonts w:cs="Times New Roman"/>
                <w:szCs w:val="24"/>
              </w:rPr>
            </w:pPr>
            <w:r>
              <w:rPr>
                <w:rFonts w:cs="Times New Roman"/>
                <w:szCs w:val="24"/>
              </w:rPr>
              <w:t>критериев опасности</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Образование продуктов, токсичность которых близка к токсичности исходного вещества</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Образование менее токсичных продуктов</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right"/>
              <w:rPr>
                <w:rFonts w:cs="Times New Roman"/>
                <w:szCs w:val="24"/>
              </w:rPr>
            </w:pPr>
            <w:r>
              <w:rPr>
                <w:rFonts w:cs="Times New Roman"/>
                <w:szCs w:val="24"/>
              </w:rPr>
              <w:t>19.</w:t>
            </w: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Биоаккумуляция (поведение в пищевой цепочке)</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Выраженное накопление во всех звеньях</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Накопление в нескольких звеньях</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Накопление в одном из звеньев</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Нет накопления</w:t>
            </w:r>
          </w:p>
        </w:tc>
      </w:tr>
      <w:tr w:rsidR="00090D4D">
        <w:tc>
          <w:tcPr>
            <w:tcW w:w="83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p>
        </w:tc>
        <w:tc>
          <w:tcPr>
            <w:tcW w:w="2618"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БАЛЛ</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w:t>
            </w:r>
          </w:p>
        </w:tc>
        <w:tc>
          <w:tcPr>
            <w:tcW w:w="1309"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w:t>
            </w:r>
          </w:p>
        </w:tc>
        <w:tc>
          <w:tcPr>
            <w:tcW w:w="119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4</w:t>
            </w:r>
          </w:p>
        </w:tc>
      </w:tr>
    </w:tbl>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xml:space="preserve">&lt;*&gt; Используемые сокращения приведены в </w:t>
      </w:r>
      <w:hyperlink w:anchor="Par318" w:history="1">
        <w:r>
          <w:rPr>
            <w:rFonts w:cs="Times New Roman"/>
            <w:color w:val="0000FF"/>
            <w:szCs w:val="24"/>
          </w:rPr>
          <w:t>Приложении 1.</w:t>
        </w:r>
      </w:hyperlink>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&lt;**&gt; В случаях отсутствия ПДК токсичного компонента отхода допустимо использование другой нормативной величины, указанной в скобках.</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&lt;***&gt; Если S = бесконечности, то lg (S / ПДК) = 1, если S = 0, то lg (S / ПДК) = 0.</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8. В перечень показателей, используемых для расчета Wi, включается показатель информационного обеспечения для учета недостатка информации по первичным показателям степени опасности компонентов отхода для ОПС.</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Показатель информационного обеспечения рассчитывается путем деления числа установленных показателей (n) на 12 (N - количество наиболее значимых первичных показателей опасности компонентов отхода для ОПС).</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xml:space="preserve">Баллы присваиваются следующим диапазонам изменения показателя </w:t>
      </w:r>
      <w:r>
        <w:rPr>
          <w:rFonts w:cs="Times New Roman"/>
          <w:szCs w:val="24"/>
        </w:rPr>
        <w:lastRenderedPageBreak/>
        <w:t>информационного обеспечения:</w:t>
      </w:r>
    </w:p>
    <w:p w:rsidR="00090D4D" w:rsidRDefault="00090D4D">
      <w:pPr>
        <w:widowControl w:val="0"/>
        <w:autoSpaceDE w:val="0"/>
        <w:autoSpaceDN w:val="0"/>
        <w:adjustRightInd w:val="0"/>
        <w:spacing w:line="240" w:lineRule="auto"/>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5712"/>
        <w:gridCol w:w="2261"/>
      </w:tblGrid>
      <w:tr w:rsidR="00090D4D">
        <w:tc>
          <w:tcPr>
            <w:tcW w:w="5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ДИАПАЗОНЫ изменения показателя информационного обеспечения (n / N</w:t>
            </w:r>
          </w:p>
        </w:tc>
        <w:tc>
          <w:tcPr>
            <w:tcW w:w="2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БАЛЛ</w:t>
            </w:r>
          </w:p>
        </w:tc>
      </w:tr>
      <w:tr w:rsidR="00090D4D">
        <w:tc>
          <w:tcPr>
            <w:tcW w:w="5712"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&lt; 0,5 (n &lt; 6)</w:t>
            </w:r>
          </w:p>
        </w:tc>
        <w:tc>
          <w:tcPr>
            <w:tcW w:w="2261"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w:t>
            </w:r>
          </w:p>
        </w:tc>
      </w:tr>
      <w:tr w:rsidR="00090D4D">
        <w:tc>
          <w:tcPr>
            <w:tcW w:w="5712"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0,5 - 0,7 (n = 6 - 8)</w:t>
            </w:r>
          </w:p>
        </w:tc>
        <w:tc>
          <w:tcPr>
            <w:tcW w:w="2261"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w:t>
            </w:r>
          </w:p>
        </w:tc>
      </w:tr>
      <w:tr w:rsidR="00090D4D">
        <w:tc>
          <w:tcPr>
            <w:tcW w:w="5712"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0,71 - 0,9 (n = 9 - 10)</w:t>
            </w:r>
          </w:p>
        </w:tc>
        <w:tc>
          <w:tcPr>
            <w:tcW w:w="2261" w:type="dxa"/>
            <w:tcBorders>
              <w:left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w:t>
            </w:r>
          </w:p>
        </w:tc>
      </w:tr>
      <w:tr w:rsidR="00090D4D">
        <w:tc>
          <w:tcPr>
            <w:tcW w:w="571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&gt; 0,9 (n &gt; 11)</w:t>
            </w:r>
          </w:p>
        </w:tc>
        <w:tc>
          <w:tcPr>
            <w:tcW w:w="226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4</w:t>
            </w:r>
          </w:p>
        </w:tc>
      </w:tr>
    </w:tbl>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9. По установленным степеням опасности компонентов отхода для ОПС в различных природных средах рассчитывается относительный параметр опасности компонента отхода для ОПС (Xi) делением суммы баллов по всем параметрам на число этих параметров.</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10. Коэффициент Wi рассчитывается по одной из следующих формул:</w:t>
      </w:r>
    </w:p>
    <w:p w:rsidR="00090D4D" w:rsidRDefault="00090D4D">
      <w:pPr>
        <w:widowControl w:val="0"/>
        <w:autoSpaceDE w:val="0"/>
        <w:autoSpaceDN w:val="0"/>
        <w:adjustRightInd w:val="0"/>
        <w:spacing w:line="240" w:lineRule="auto"/>
        <w:rPr>
          <w:rFonts w:cs="Times New Roman"/>
          <w:szCs w:val="24"/>
        </w:rPr>
      </w:pPr>
    </w:p>
    <w:p w:rsidR="00090D4D" w:rsidRDefault="00090D4D">
      <w:pPr>
        <w:pStyle w:val="ConsPlusNonformat"/>
        <w:jc w:val="both"/>
      </w:pPr>
      <w:r>
        <w:t xml:space="preserve">                    ┌── 4 - 4 / Zi;            Для 1 &lt; Zi &lt; 2</w:t>
      </w:r>
    </w:p>
    <w:p w:rsidR="00090D4D" w:rsidRDefault="00090D4D">
      <w:pPr>
        <w:pStyle w:val="ConsPlusNonformat"/>
        <w:jc w:val="both"/>
      </w:pPr>
      <w:r>
        <w:t xml:space="preserve">    lg Wi =         │</w:t>
      </w:r>
    </w:p>
    <w:p w:rsidR="00090D4D" w:rsidRDefault="00090D4D">
      <w:pPr>
        <w:pStyle w:val="ConsPlusNonformat"/>
        <w:jc w:val="both"/>
      </w:pPr>
      <w:r>
        <w:t xml:space="preserve">                    ├── Zi;                    Для 2 &lt; Zi &lt; 4</w:t>
      </w:r>
    </w:p>
    <w:p w:rsidR="00090D4D" w:rsidRDefault="00090D4D">
      <w:pPr>
        <w:pStyle w:val="ConsPlusNonformat"/>
        <w:jc w:val="both"/>
      </w:pPr>
      <w:r>
        <w:t xml:space="preserve">                    │</w:t>
      </w:r>
    </w:p>
    <w:p w:rsidR="00090D4D" w:rsidRDefault="00090D4D">
      <w:pPr>
        <w:pStyle w:val="ConsPlusNonformat"/>
        <w:jc w:val="both"/>
      </w:pPr>
      <w:r>
        <w:t xml:space="preserve">                    └── 2 + 4 / (6 - Zi), где  Для 4 &lt; Zi &lt; 5</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Zi = 4 Xi / 3 - 1 / 3.</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xml:space="preserve">Коэффициенты (Wi) для наиболее распространенных компонентов опасных отходов приведены в </w:t>
      </w:r>
      <w:hyperlink w:anchor="Par365" w:history="1">
        <w:r>
          <w:rPr>
            <w:rFonts w:cs="Times New Roman"/>
            <w:color w:val="0000FF"/>
            <w:szCs w:val="24"/>
          </w:rPr>
          <w:t>Приложении 2.</w:t>
        </w:r>
      </w:hyperlink>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11. Показатель степени опасности компонента отхода для ОПС Ki рассчитывается по формуле:</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Ki = Ci / Wi, где</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Ci - концентрация i-го компонента в опасном отходе (мг/кг отхода);</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Wi - коэффициент степени опасности i-го компонента опасного отхода для ОПС (мг/кг).</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12. Показатель степени опасности отхода для ОПС K рассчитывают по следующей формуле:</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K = K1 + K2 + ... + Kn, где</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K - показатель степени опасности отхода для ОПС;</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K1, K2, ... Kn - показатели степени опасности отдельных компонентов опасного отхода для ОПС.</w:t>
      </w:r>
    </w:p>
    <w:p w:rsidR="00090D4D" w:rsidRDefault="00090D4D">
      <w:pPr>
        <w:pStyle w:val="ConsPlusNonformat"/>
        <w:jc w:val="both"/>
      </w:pPr>
      <w:r>
        <w:t xml:space="preserve">    13. Компоненты  отходов, состоящие  из  таких химических элементов  как</w:t>
      </w:r>
    </w:p>
    <w:p w:rsidR="00090D4D" w:rsidRDefault="00090D4D">
      <w:pPr>
        <w:pStyle w:val="ConsPlusNonformat"/>
        <w:jc w:val="both"/>
      </w:pPr>
      <w:r>
        <w:t>кислород, азот,  углерод,  фосфор, сера, кремний, алюминий, железо, натрий,</w:t>
      </w:r>
    </w:p>
    <w:p w:rsidR="00090D4D" w:rsidRDefault="00090D4D">
      <w:pPr>
        <w:pStyle w:val="ConsPlusNonformat"/>
        <w:jc w:val="both"/>
      </w:pPr>
      <w:r>
        <w:t>калий, кальций, магний, титан в концентрациях, не превышающих их содержание</w:t>
      </w:r>
    </w:p>
    <w:p w:rsidR="00090D4D" w:rsidRDefault="00090D4D">
      <w:pPr>
        <w:pStyle w:val="ConsPlusNonformat"/>
        <w:jc w:val="both"/>
      </w:pPr>
      <w:r>
        <w:t>в  основных  типах  почв,  относятся к практически неопасным компонентам со</w:t>
      </w:r>
    </w:p>
    <w:p w:rsidR="00090D4D" w:rsidRDefault="00090D4D">
      <w:pPr>
        <w:pStyle w:val="ConsPlusNonformat"/>
        <w:jc w:val="both"/>
      </w:pPr>
      <w:r>
        <w:t>средним  баллом  (Xi),  равным  4,  и, следовательно, коэффициентом степени</w:t>
      </w:r>
    </w:p>
    <w:p w:rsidR="00090D4D" w:rsidRDefault="00090D4D">
      <w:pPr>
        <w:pStyle w:val="ConsPlusNonformat"/>
        <w:jc w:val="both"/>
      </w:pPr>
      <w:r>
        <w:t xml:space="preserve">                                 6</w:t>
      </w:r>
    </w:p>
    <w:p w:rsidR="00090D4D" w:rsidRDefault="00090D4D">
      <w:pPr>
        <w:pStyle w:val="ConsPlusNonformat"/>
        <w:jc w:val="both"/>
      </w:pPr>
      <w:r>
        <w:t>опасности для ОПС (Wi), равным 10 .</w:t>
      </w:r>
    </w:p>
    <w:p w:rsidR="00090D4D" w:rsidRDefault="00090D4D">
      <w:pPr>
        <w:pStyle w:val="ConsPlusNonformat"/>
        <w:jc w:val="both"/>
      </w:pPr>
      <w:r>
        <w:t xml:space="preserve">    Компоненты отходов природного органического происхождения, состоящие из</w:t>
      </w:r>
    </w:p>
    <w:p w:rsidR="00090D4D" w:rsidRDefault="00090D4D">
      <w:pPr>
        <w:pStyle w:val="ConsPlusNonformat"/>
        <w:jc w:val="both"/>
      </w:pPr>
      <w:r>
        <w:t>таких   соединений   как  углеводы  (клетчатка,  крахмал  и  иное),  белки,</w:t>
      </w:r>
    </w:p>
    <w:p w:rsidR="00090D4D" w:rsidRDefault="00090D4D">
      <w:pPr>
        <w:pStyle w:val="ConsPlusNonformat"/>
        <w:jc w:val="both"/>
      </w:pPr>
      <w:r>
        <w:t>азотсодержащие  органические  соединения  (аминокислоты,  амиды и иное), то</w:t>
      </w:r>
    </w:p>
    <w:p w:rsidR="00090D4D" w:rsidRDefault="00090D4D">
      <w:pPr>
        <w:pStyle w:val="ConsPlusNonformat"/>
        <w:jc w:val="both"/>
      </w:pPr>
      <w:r>
        <w:t>есть веществ, встречающихся в живой природе, относятся к классу практически</w:t>
      </w:r>
    </w:p>
    <w:p w:rsidR="00090D4D" w:rsidRDefault="00090D4D">
      <w:pPr>
        <w:pStyle w:val="ConsPlusNonformat"/>
        <w:jc w:val="both"/>
      </w:pPr>
      <w:r>
        <w:t>неопасных  компонентов  со средним баллом (Xi), равным 4, и, следовательно,</w:t>
      </w:r>
    </w:p>
    <w:p w:rsidR="00090D4D" w:rsidRDefault="00090D4D">
      <w:pPr>
        <w:pStyle w:val="ConsPlusNonformat"/>
        <w:jc w:val="both"/>
      </w:pPr>
      <w:r>
        <w:lastRenderedPageBreak/>
        <w:t xml:space="preserve">                                                       6</w:t>
      </w:r>
    </w:p>
    <w:p w:rsidR="00090D4D" w:rsidRDefault="00090D4D">
      <w:pPr>
        <w:pStyle w:val="ConsPlusNonformat"/>
        <w:jc w:val="both"/>
      </w:pPr>
      <w:r>
        <w:t>коэффициентом степени опасности для ОПС (Wi), равным 10 .</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Для остальных компонентов отходов показатель степени опасности для ОПС рассчитывается по вышеустановленному порядку </w:t>
      </w:r>
      <w:hyperlink w:anchor="Par72" w:history="1">
        <w:r>
          <w:rPr>
            <w:rFonts w:cs="Times New Roman"/>
            <w:color w:val="0000FF"/>
            <w:szCs w:val="24"/>
          </w:rPr>
          <w:t>(пункты 7</w:t>
        </w:r>
      </w:hyperlink>
      <w:r>
        <w:rPr>
          <w:rFonts w:cs="Times New Roman"/>
          <w:szCs w:val="24"/>
        </w:rPr>
        <w:t xml:space="preserve"> - 12).</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14. Отнесение отходов к классу опасности расчетным методом по показателю степени опасности отхода для ОПС осуществляется в соответствии с Таблицей 3.</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right"/>
        <w:outlineLvl w:val="2"/>
        <w:rPr>
          <w:rFonts w:cs="Times New Roman"/>
          <w:szCs w:val="24"/>
        </w:rPr>
      </w:pPr>
      <w:bookmarkStart w:id="8" w:name="Par272"/>
      <w:bookmarkEnd w:id="8"/>
      <w:r>
        <w:rPr>
          <w:rFonts w:cs="Times New Roman"/>
          <w:szCs w:val="24"/>
        </w:rPr>
        <w:t>Таблица 3</w:t>
      </w:r>
    </w:p>
    <w:p w:rsidR="00090D4D" w:rsidRDefault="00090D4D">
      <w:pPr>
        <w:widowControl w:val="0"/>
        <w:autoSpaceDE w:val="0"/>
        <w:autoSpaceDN w:val="0"/>
        <w:adjustRightInd w:val="0"/>
        <w:spacing w:line="240" w:lineRule="auto"/>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2856"/>
        <w:gridCol w:w="5117"/>
      </w:tblGrid>
      <w:tr w:rsidR="00090D4D">
        <w:tc>
          <w:tcPr>
            <w:tcW w:w="2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КЛАСС ОПАСНОСТИ ОТХОДА</w:t>
            </w:r>
          </w:p>
        </w:tc>
        <w:tc>
          <w:tcPr>
            <w:tcW w:w="5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СТЕПЕНЬ ОПАСНОСТИ ОТХОДА ДЛЯ ОПС (K)</w:t>
            </w:r>
          </w:p>
        </w:tc>
      </w:tr>
      <w:tr w:rsidR="00090D4D">
        <w:tc>
          <w:tcPr>
            <w:tcW w:w="285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w:t>
            </w:r>
          </w:p>
        </w:tc>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position w:val="-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75pt">
                  <v:imagedata r:id="rId7" o:title=""/>
                </v:shape>
              </w:pict>
            </w:r>
            <w:r>
              <w:rPr>
                <w:rFonts w:cs="Times New Roman"/>
                <w:szCs w:val="24"/>
              </w:rPr>
              <w:t xml:space="preserve"> &gt;= K &gt; </w:t>
            </w:r>
            <w:r>
              <w:rPr>
                <w:rFonts w:cs="Times New Roman"/>
                <w:position w:val="-6"/>
                <w:szCs w:val="24"/>
              </w:rPr>
              <w:pict>
                <v:shape id="_x0000_i1026" type="#_x0000_t75" style="width:21.75pt;height:18.75pt">
                  <v:imagedata r:id="rId8" o:title=""/>
                </v:shape>
              </w:pict>
            </w:r>
          </w:p>
        </w:tc>
      </w:tr>
      <w:tr w:rsidR="00090D4D">
        <w:tc>
          <w:tcPr>
            <w:tcW w:w="285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II</w:t>
            </w:r>
          </w:p>
        </w:tc>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position w:val="-6"/>
                <w:szCs w:val="24"/>
              </w:rPr>
              <w:pict>
                <v:shape id="_x0000_i1027" type="#_x0000_t75" style="width:21.75pt;height:18.75pt">
                  <v:imagedata r:id="rId8" o:title=""/>
                </v:shape>
              </w:pict>
            </w:r>
            <w:r>
              <w:rPr>
                <w:rFonts w:cs="Times New Roman"/>
                <w:szCs w:val="24"/>
              </w:rPr>
              <w:t xml:space="preserve"> &gt;= K &gt; </w:t>
            </w:r>
            <w:r>
              <w:rPr>
                <w:rFonts w:cs="Times New Roman"/>
                <w:position w:val="-6"/>
                <w:szCs w:val="24"/>
              </w:rPr>
              <w:pict>
                <v:shape id="_x0000_i1028" type="#_x0000_t75" style="width:21.75pt;height:18.75pt">
                  <v:imagedata r:id="rId9" o:title=""/>
                </v:shape>
              </w:pict>
            </w:r>
          </w:p>
        </w:tc>
      </w:tr>
      <w:tr w:rsidR="00090D4D">
        <w:tc>
          <w:tcPr>
            <w:tcW w:w="285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III</w:t>
            </w:r>
          </w:p>
        </w:tc>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position w:val="-6"/>
                <w:szCs w:val="24"/>
              </w:rPr>
              <w:pict>
                <v:shape id="_x0000_i1029" type="#_x0000_t75" style="width:21.75pt;height:18.75pt">
                  <v:imagedata r:id="rId9" o:title=""/>
                </v:shape>
              </w:pict>
            </w:r>
            <w:r>
              <w:rPr>
                <w:rFonts w:cs="Times New Roman"/>
                <w:szCs w:val="24"/>
              </w:rPr>
              <w:t xml:space="preserve"> &gt;= K &gt; </w:t>
            </w:r>
            <w:r>
              <w:rPr>
                <w:rFonts w:cs="Times New Roman"/>
                <w:position w:val="-6"/>
                <w:szCs w:val="24"/>
              </w:rPr>
              <w:pict>
                <v:shape id="_x0000_i1030" type="#_x0000_t75" style="width:21.75pt;height:18.75pt">
                  <v:imagedata r:id="rId10" o:title=""/>
                </v:shape>
              </w:pict>
            </w:r>
          </w:p>
        </w:tc>
      </w:tr>
      <w:tr w:rsidR="00090D4D">
        <w:tc>
          <w:tcPr>
            <w:tcW w:w="285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IV</w:t>
            </w:r>
          </w:p>
        </w:tc>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position w:val="-6"/>
                <w:szCs w:val="24"/>
              </w:rPr>
              <w:pict>
                <v:shape id="_x0000_i1031" type="#_x0000_t75" style="width:21.75pt;height:18.75pt">
                  <v:imagedata r:id="rId10" o:title=""/>
                </v:shape>
              </w:pict>
            </w:r>
            <w:r>
              <w:rPr>
                <w:rFonts w:cs="Times New Roman"/>
                <w:szCs w:val="24"/>
              </w:rPr>
              <w:t xml:space="preserve"> &gt;= K &gt; </w:t>
            </w:r>
            <w:r>
              <w:rPr>
                <w:rFonts w:cs="Times New Roman"/>
                <w:position w:val="-6"/>
                <w:szCs w:val="24"/>
              </w:rPr>
              <w:pict>
                <v:shape id="_x0000_i1032" type="#_x0000_t75" style="width:21.75pt;height:18.75pt">
                  <v:imagedata r:id="rId11" o:title=""/>
                </v:shape>
              </w:pict>
            </w:r>
          </w:p>
        </w:tc>
      </w:tr>
      <w:tr w:rsidR="00090D4D">
        <w:tc>
          <w:tcPr>
            <w:tcW w:w="285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V</w:t>
            </w:r>
          </w:p>
        </w:tc>
        <w:tc>
          <w:tcPr>
            <w:tcW w:w="511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K &lt;= </w:t>
            </w:r>
            <w:r>
              <w:rPr>
                <w:rFonts w:cs="Times New Roman"/>
                <w:position w:val="-6"/>
                <w:szCs w:val="24"/>
              </w:rPr>
              <w:pict>
                <v:shape id="_x0000_i1033" type="#_x0000_t75" style="width:21.75pt;height:18.75pt">
                  <v:imagedata r:id="rId11" o:title=""/>
                </v:shape>
              </w:pict>
            </w:r>
          </w:p>
        </w:tc>
      </w:tr>
    </w:tbl>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outlineLvl w:val="1"/>
        <w:rPr>
          <w:rFonts w:cs="Times New Roman"/>
          <w:szCs w:val="24"/>
        </w:rPr>
      </w:pPr>
      <w:bookmarkStart w:id="9" w:name="Par287"/>
      <w:bookmarkEnd w:id="9"/>
      <w:r>
        <w:rPr>
          <w:rFonts w:cs="Times New Roman"/>
          <w:szCs w:val="24"/>
        </w:rPr>
        <w:t>III. ОТНЕСЕНИЕ ОПАСНЫХ ОТХОДОВ К КЛАССУ ОПАСНОСТИ ДЛЯ ОКРУЖАЮЩЕЙ ПРИРОДНОЙ СРЕДЫ ЭКСПЕРИМЕНТАЛЬНЫМ МЕТОДОМ</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15. Экспериментальный метод отнесения отходов к классу опасности для ОПС осуществляется в специализированных аккредитованных для этих целей лабораториях.</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16. Экспериментальный метод используется в следующих случаях:</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для подтверждения отнесения отходов к 5-му классу опасности, установленного расчетным методом;</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при отнесении к классу опасности отходов, у которых невозможно определить их качественный и количественный состав;</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 при уточнении по желанию и за счет заинтересованной стороны класса опасности отходов, полученного в соответствии с Приложением 1 или расчетным методом.</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17. Экспериментальный метод основан на биотестировании водной вытяжки отходов.</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18. В случае присутствия в составе отхода органических или биогенных веществ, проводится тест на устойчивость к биодеградации для решения вопроса о возможности отнесения отхода к классу меньшей опасности. Устойчивостью отхода к биодеградации является способность отхода или отдельных его компонентов подвергаться разложению под воздействием микроорганизмов.</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19. При определении класса опасности отхода для ОПС с помощью метода биотестирования водной вытяжки применяется не менее двух тест-объектов из разных систематических групп (дафнии и инфузории, цериодафнии и бактерии или водоросли и т.п.). За окончательный результат принимается класс опасности, выявленный на тест-объекте, проявившем более высокую чувствительность к анализируемому отходу.</w:t>
      </w:r>
    </w:p>
    <w:p w:rsidR="00090D4D" w:rsidRDefault="00090D4D">
      <w:pPr>
        <w:widowControl w:val="0"/>
        <w:autoSpaceDE w:val="0"/>
        <w:autoSpaceDN w:val="0"/>
        <w:adjustRightInd w:val="0"/>
        <w:spacing w:line="240" w:lineRule="auto"/>
        <w:ind w:firstLine="540"/>
        <w:jc w:val="both"/>
        <w:rPr>
          <w:rFonts w:cs="Times New Roman"/>
          <w:szCs w:val="24"/>
        </w:rPr>
      </w:pPr>
      <w:r>
        <w:rPr>
          <w:rFonts w:cs="Times New Roman"/>
          <w:szCs w:val="24"/>
        </w:rPr>
        <w:t>20. Для подтверждения отнесения отходов к пятому классу опасности для ОПС, установленного расчетным методом, определяется воздействие только водной вытяжки отхода без ее разведения. Класс опасности устанавливается по кратности разведения водной вытяжки, при которой не выявлено воздействие на гидробионтов в соответствии со следующими диапазонами кратности разведения в соответствии с таблицей 4.</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right"/>
        <w:outlineLvl w:val="2"/>
        <w:rPr>
          <w:rFonts w:cs="Times New Roman"/>
          <w:szCs w:val="24"/>
        </w:rPr>
      </w:pPr>
      <w:bookmarkStart w:id="10" w:name="Par299"/>
      <w:bookmarkEnd w:id="10"/>
      <w:r>
        <w:rPr>
          <w:rFonts w:cs="Times New Roman"/>
          <w:szCs w:val="24"/>
        </w:rPr>
        <w:lastRenderedPageBreak/>
        <w:t>Таблица 4</w:t>
      </w:r>
    </w:p>
    <w:p w:rsidR="00090D4D" w:rsidRDefault="00090D4D">
      <w:pPr>
        <w:widowControl w:val="0"/>
        <w:autoSpaceDE w:val="0"/>
        <w:autoSpaceDN w:val="0"/>
        <w:adjustRightInd w:val="0"/>
        <w:spacing w:line="240" w:lineRule="auto"/>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2023"/>
        <w:gridCol w:w="5950"/>
      </w:tblGrid>
      <w:tr w:rsidR="00090D4D">
        <w:tc>
          <w:tcPr>
            <w:tcW w:w="20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КЛАСС ОПАСНОСТИ ОТХОДА</w:t>
            </w:r>
          </w:p>
        </w:tc>
        <w:tc>
          <w:tcPr>
            <w:tcW w:w="5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КРАТНОСТЬ РАЗВЕДЕНИЯ ВОДНОЙ ВЫТЯЖКИ ИЗ ОПАСНОГО ОТХОДА, ПРИ КОТОРОЙ ВРЕДНОЕ ВОЗДЕЙСТВИЕ НА ГИДРОБИОНТОВ ОТСУТСТВУЕТ</w:t>
            </w:r>
          </w:p>
        </w:tc>
      </w:tr>
      <w:tr w:rsidR="00090D4D">
        <w:tc>
          <w:tcPr>
            <w:tcW w:w="202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w:t>
            </w:r>
          </w:p>
        </w:tc>
        <w:tc>
          <w:tcPr>
            <w:tcW w:w="595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&gt; 10000</w:t>
            </w:r>
          </w:p>
        </w:tc>
      </w:tr>
      <w:tr w:rsidR="00090D4D">
        <w:tc>
          <w:tcPr>
            <w:tcW w:w="202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II</w:t>
            </w:r>
          </w:p>
        </w:tc>
        <w:tc>
          <w:tcPr>
            <w:tcW w:w="595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От 10000 до 1001</w:t>
            </w:r>
          </w:p>
        </w:tc>
      </w:tr>
      <w:tr w:rsidR="00090D4D">
        <w:tc>
          <w:tcPr>
            <w:tcW w:w="202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III</w:t>
            </w:r>
          </w:p>
        </w:tc>
        <w:tc>
          <w:tcPr>
            <w:tcW w:w="595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От 1000 до 101</w:t>
            </w:r>
          </w:p>
        </w:tc>
      </w:tr>
      <w:tr w:rsidR="00090D4D">
        <w:tc>
          <w:tcPr>
            <w:tcW w:w="202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IV</w:t>
            </w:r>
          </w:p>
        </w:tc>
        <w:tc>
          <w:tcPr>
            <w:tcW w:w="595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&lt; 100</w:t>
            </w:r>
          </w:p>
        </w:tc>
      </w:tr>
      <w:tr w:rsidR="00090D4D">
        <w:tc>
          <w:tcPr>
            <w:tcW w:w="2023"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V</w:t>
            </w:r>
          </w:p>
        </w:tc>
        <w:tc>
          <w:tcPr>
            <w:tcW w:w="5950"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w:t>
            </w:r>
          </w:p>
        </w:tc>
      </w:tr>
    </w:tbl>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right"/>
        <w:outlineLvl w:val="1"/>
        <w:rPr>
          <w:rFonts w:cs="Times New Roman"/>
          <w:szCs w:val="24"/>
        </w:rPr>
      </w:pPr>
      <w:bookmarkStart w:id="11" w:name="Par318"/>
      <w:bookmarkEnd w:id="11"/>
      <w:r>
        <w:rPr>
          <w:rFonts w:cs="Times New Roman"/>
          <w:szCs w:val="24"/>
        </w:rPr>
        <w:t>Приложение 1</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ПЕРЕЧЕНЬ СОКРАЩЕНИЙ</w:t>
      </w:r>
    </w:p>
    <w:p w:rsidR="00090D4D" w:rsidRDefault="00090D4D">
      <w:pPr>
        <w:widowControl w:val="0"/>
        <w:autoSpaceDE w:val="0"/>
        <w:autoSpaceDN w:val="0"/>
        <w:adjustRightInd w:val="0"/>
        <w:spacing w:line="240" w:lineRule="auto"/>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2142"/>
        <w:gridCol w:w="5831"/>
      </w:tblGrid>
      <w:tr w:rsidR="00090D4D">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ПДКп (мг/кг)</w:t>
            </w:r>
          </w:p>
        </w:tc>
        <w:tc>
          <w:tcPr>
            <w:tcW w:w="5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предельно-допустимая концентрация вещества в почве</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ОДК</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ориентировочно-допустимая концентрация</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ПДКв (мг/л)</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предельно-допустимая концентрация вещества в воде водных объектов хозяйственно-питьевого и культурно-бытового водопользования</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ОДУ</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ориентировочно-допустимый уровень</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ОБУВ</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ориентировочный безопасный уровень воздействия</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ПДКр.х. (мг/л)</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предельно-допустимая концентрация вещества в воде водных объектов рыбохозяйственного назначения</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ПДКс.с. (мг/м3)</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предельно-допустимая концентрация вещества среднесуточная в атмосферном воздухе населенных мест</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ПДКм.р. (мг/м3)</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предельно-допустимая концентрация вещества максимально разовая в воздухе населенных мест</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ПДКр.з. (мг/м3)</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предельно-допустимая концентрация вещества в воздухе рабочей зоны</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МДС</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максимально допустимое содержание</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МДУ</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максимально допустимый уровень</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S (мг/л)</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растворимость компонента отхода (вещества)в воде при 20 °C</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lastRenderedPageBreak/>
              <w:t>Cнас (мг/м3)</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насыщающая концентрация вещества в воздухе при 20 °C и нормальном давлении</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Kow</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коэффициент распределения в системе октанол/вода при 20 °C</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LD50 (мг/кг)</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средняя смертельная доза компонента в миллиграммах действующего вещества на 1 кг живого веса, вызывающая гибель 50% подопытных животных при однократном пероральном введении в унифицированных условиях</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LDкожн. 50 (мг/кг)</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средняя смертельная доза компонента в миллиграммах действующего вещества на 1 кг живого веса, вызывающая гибель 50% подопытных животных при однократном нанесении на кожу в унифицированных условиях</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LC50 (мг/м3)</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средняя смертельная концентрация вещества, вызывающая гибель 50%подопытных животных при ингаляционном поступлении в унифицированных условиях</w:t>
            </w:r>
          </w:p>
        </w:tc>
      </w:tr>
      <w:tr w:rsidR="00090D4D">
        <w:tc>
          <w:tcPr>
            <w:tcW w:w="2142"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БД</w:t>
            </w:r>
          </w:p>
        </w:tc>
        <w:tc>
          <w:tcPr>
            <w:tcW w:w="5831"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биологическая диссимиляция</w:t>
            </w:r>
          </w:p>
        </w:tc>
      </w:tr>
    </w:tbl>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right"/>
        <w:outlineLvl w:val="1"/>
        <w:rPr>
          <w:rFonts w:cs="Times New Roman"/>
          <w:szCs w:val="24"/>
        </w:rPr>
      </w:pPr>
      <w:bookmarkStart w:id="12" w:name="Par365"/>
      <w:bookmarkEnd w:id="12"/>
      <w:r>
        <w:rPr>
          <w:rFonts w:cs="Times New Roman"/>
          <w:szCs w:val="24"/>
        </w:rPr>
        <w:t>Приложение 2</w:t>
      </w: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КОЭФФИЦИЕНТЫ W ДЛЯ ОТДЕЛЬНЫХ КОМПОНЕНТОВ ОПАСНЫХ ОТХОДОВ</w:t>
      </w:r>
    </w:p>
    <w:p w:rsidR="00090D4D" w:rsidRDefault="00090D4D">
      <w:pPr>
        <w:widowControl w:val="0"/>
        <w:autoSpaceDE w:val="0"/>
        <w:autoSpaceDN w:val="0"/>
        <w:adjustRightInd w:val="0"/>
        <w:spacing w:line="240" w:lineRule="auto"/>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666"/>
        <w:gridCol w:w="1547"/>
        <w:gridCol w:w="1666"/>
        <w:gridCol w:w="1785"/>
        <w:gridCol w:w="1666"/>
      </w:tblGrid>
      <w:tr w:rsidR="00090D4D">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НАИМЕНОВАНИЕ КОМПОНЕНТА</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XI</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ZI</w:t>
            </w:r>
          </w:p>
        </w:tc>
        <w:tc>
          <w:tcPr>
            <w:tcW w:w="1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LGWI</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WI</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Альдрин</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1,857</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2,14</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2,14</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138</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Бенз(а)пирен</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1,8</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1,778</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59,97</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Бензол</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2,125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316,2</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Гексахлорбензол</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2,166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2,55</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354</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2-4Динитрофенол</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1,66</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1,66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39,8</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Ди(n)бутилфталат</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2,33</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2,33</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215,44</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Диоксины</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1,4</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1,533</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1,391</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24,6</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lastRenderedPageBreak/>
              <w:t>Дихлорпропен</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2,2</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2,66</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2,66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398</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Диметилфтатат</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2,166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2,555</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2,555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358,59</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Дихлорфенол</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1,66</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1,66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39,8</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Дихлордифенилтрихлорэтан</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2,33</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2,33</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213,8</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Кадмий</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1,42</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1,56</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1,43</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26,9</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Линдан</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2,25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2,66</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2,66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463,4</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Марганец</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2,30</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2,37</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2,73</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537,0</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Медь</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2,17</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2,56</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358,9</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Мышьяк</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1,58</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1,77</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1,74</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55,0</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Нафталин</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2,285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2,714</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2,714</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517,9</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Никель</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1,83</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2,11</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2,11</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128,8</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N-нитрозодифениламин</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2,8</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3,4</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3,4</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2511,88</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Пентахлорбифенилы</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1,8</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1,778</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59,98</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Пентахлорфенол</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1,66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1,88</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1,88</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75,85</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Ртуть</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1,25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1,33</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1,00</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10,0</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Стронций</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2,86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3,47</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3,47</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2951</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Серебро</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2,14</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2,52</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2,52</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331,1</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Свинец</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1,46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1,61</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1,52</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33,1</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Тетрахлорэтан</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2,4</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2,866</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2,866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735,6</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Толуол</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1000</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Трихлорбензол</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2,33</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2,77</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2,77</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598,4</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Фенол</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2,33</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2,33</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215,44</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Фураны</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2,166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2,55</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2,55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359</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Хлороформ</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2,333</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2,333</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215,4</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Хром</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1,75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2,00</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2,00</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100,0</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t>Цинк</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2,25</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2,67</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2,67</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463,4</w:t>
            </w:r>
          </w:p>
        </w:tc>
      </w:tr>
      <w:tr w:rsidR="00090D4D">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rPr>
                <w:rFonts w:cs="Times New Roman"/>
                <w:szCs w:val="24"/>
              </w:rPr>
            </w:pPr>
            <w:r>
              <w:rPr>
                <w:rFonts w:cs="Times New Roman"/>
                <w:szCs w:val="24"/>
              </w:rPr>
              <w:lastRenderedPageBreak/>
              <w:t>Этилбензол</w:t>
            </w:r>
          </w:p>
        </w:tc>
        <w:tc>
          <w:tcPr>
            <w:tcW w:w="1547"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2,286</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2,714</w:t>
            </w:r>
          </w:p>
        </w:tc>
        <w:tc>
          <w:tcPr>
            <w:tcW w:w="1785"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2,714</w:t>
            </w:r>
          </w:p>
        </w:tc>
        <w:tc>
          <w:tcPr>
            <w:tcW w:w="1666" w:type="dxa"/>
            <w:tcBorders>
              <w:left w:val="single" w:sz="4" w:space="0" w:color="auto"/>
              <w:bottom w:val="single" w:sz="4" w:space="0" w:color="auto"/>
              <w:right w:val="single" w:sz="4" w:space="0" w:color="auto"/>
            </w:tcBorders>
            <w:tcMar>
              <w:top w:w="62" w:type="dxa"/>
              <w:left w:w="102" w:type="dxa"/>
              <w:bottom w:w="102" w:type="dxa"/>
              <w:right w:w="62" w:type="dxa"/>
            </w:tcMar>
          </w:tcPr>
          <w:p w:rsidR="00090D4D" w:rsidRDefault="00090D4D">
            <w:pPr>
              <w:widowControl w:val="0"/>
              <w:autoSpaceDE w:val="0"/>
              <w:autoSpaceDN w:val="0"/>
              <w:adjustRightInd w:val="0"/>
              <w:spacing w:line="240" w:lineRule="auto"/>
              <w:jc w:val="center"/>
              <w:rPr>
                <w:rFonts w:cs="Times New Roman"/>
                <w:szCs w:val="24"/>
              </w:rPr>
            </w:pPr>
            <w:r>
              <w:rPr>
                <w:rFonts w:cs="Times New Roman"/>
                <w:szCs w:val="24"/>
              </w:rPr>
              <w:t>517,9</w:t>
            </w:r>
          </w:p>
        </w:tc>
      </w:tr>
    </w:tbl>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autoSpaceDE w:val="0"/>
        <w:autoSpaceDN w:val="0"/>
        <w:adjustRightInd w:val="0"/>
        <w:spacing w:line="240" w:lineRule="auto"/>
        <w:rPr>
          <w:rFonts w:cs="Times New Roman"/>
          <w:szCs w:val="24"/>
        </w:rPr>
      </w:pPr>
    </w:p>
    <w:p w:rsidR="00090D4D" w:rsidRDefault="00090D4D">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31740" w:rsidRDefault="00090D4D"/>
    <w:sectPr w:rsidR="00031740" w:rsidSect="000E0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0D4D"/>
    <w:rsid w:val="00090D4D"/>
    <w:rsid w:val="00284FBE"/>
    <w:rsid w:val="002A0CE3"/>
    <w:rsid w:val="0036331A"/>
    <w:rsid w:val="00614C82"/>
    <w:rsid w:val="00736F9C"/>
    <w:rsid w:val="007E2216"/>
    <w:rsid w:val="00840FE5"/>
    <w:rsid w:val="008E3058"/>
    <w:rsid w:val="00A26DBE"/>
    <w:rsid w:val="00B527B1"/>
    <w:rsid w:val="00EE3FA0"/>
    <w:rsid w:val="00F1631C"/>
    <w:rsid w:val="00F94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BE"/>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0D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A035EDF12E29F8FA8EF3740E038B9FCC47C986345F5A0AB848CE2883530FFA8133B6801119B50Dh4UCC" TargetMode="External"/><Relationship Id="rId11" Type="http://schemas.openxmlformats.org/officeDocument/2006/relationships/image" Target="media/image5.wmf"/><Relationship Id="rId5" Type="http://schemas.openxmlformats.org/officeDocument/2006/relationships/hyperlink" Target="consultantplus://offline/ref=BCA035EDF12E29F8FA8EF3740E038B9FCC47C986345F5A0AB848CE2883530FFA8133B6801119B50Dh4UCC" TargetMode="External"/><Relationship Id="rId10" Type="http://schemas.openxmlformats.org/officeDocument/2006/relationships/image" Target="media/image4.wmf"/><Relationship Id="rId4" Type="http://schemas.openxmlformats.org/officeDocument/2006/relationships/hyperlink" Target="http://www.consultant.ru" TargetMode="Externa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2235</Words>
  <Characters>12740</Characters>
  <Application>Microsoft Office Word</Application>
  <DocSecurity>0</DocSecurity>
  <Lines>106</Lines>
  <Paragraphs>29</Paragraphs>
  <ScaleCrop>false</ScaleCrop>
  <Company>*</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dc:creator>
  <cp:keywords/>
  <dc:description/>
  <cp:lastModifiedBy>kovalev</cp:lastModifiedBy>
  <cp:revision>1</cp:revision>
  <dcterms:created xsi:type="dcterms:W3CDTF">2014-10-27T02:20:00Z</dcterms:created>
  <dcterms:modified xsi:type="dcterms:W3CDTF">2014-10-27T02:20:00Z</dcterms:modified>
</cp:coreProperties>
</file>